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88" w:rsidRDefault="0024474E" w:rsidP="00CC321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CC321F">
        <w:rPr>
          <w:rFonts w:ascii="標楷體" w:eastAsia="標楷體" w:hAnsi="標楷體" w:cs="標楷體" w:hint="eastAsia"/>
          <w:b/>
          <w:sz w:val="28"/>
          <w:szCs w:val="28"/>
        </w:rPr>
        <w:t>左營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CC321F">
        <w:rPr>
          <w:rFonts w:ascii="標楷體" w:eastAsia="標楷體" w:hAnsi="標楷體" w:cs="標楷體" w:hint="eastAsia"/>
          <w:b/>
          <w:sz w:val="28"/>
          <w:szCs w:val="28"/>
        </w:rPr>
        <w:t>福山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cs="標楷體"/>
          <w:b/>
          <w:sz w:val="28"/>
          <w:szCs w:val="28"/>
        </w:rPr>
        <w:t>年級</w:t>
      </w:r>
      <w:r>
        <w:rPr>
          <w:rFonts w:ascii="標楷體" w:eastAsia="標楷體" w:hAnsi="標楷體" w:cs="標楷體"/>
          <w:b/>
          <w:sz w:val="28"/>
          <w:szCs w:val="28"/>
          <w:highlight w:val="yellow"/>
        </w:rPr>
        <w:t>(第7冊)</w:t>
      </w:r>
      <w:r>
        <w:rPr>
          <w:rFonts w:ascii="標楷體" w:eastAsia="標楷體" w:hAnsi="標楷體" w:cs="標楷體"/>
          <w:b/>
          <w:sz w:val="28"/>
          <w:szCs w:val="28"/>
        </w:rPr>
        <w:t>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一 </w:t>
      </w:r>
      <w:r>
        <w:rPr>
          <w:rFonts w:ascii="標楷體" w:eastAsia="標楷體" w:hAnsi="標楷體" w:cs="標楷體"/>
          <w:b/>
          <w:sz w:val="28"/>
          <w:szCs w:val="28"/>
        </w:rPr>
        <w:t>學期部定課程【語文領域-</w:t>
      </w:r>
      <w:r>
        <w:rPr>
          <w:rFonts w:ascii="標楷體" w:eastAsia="標楷體" w:hAnsi="標楷體" w:cs="標楷體"/>
          <w:b/>
          <w:sz w:val="28"/>
          <w:szCs w:val="28"/>
          <w:highlight w:val="yellow"/>
        </w:rPr>
        <w:t>新住民語文(越南語)</w:t>
      </w:r>
      <w:r>
        <w:rPr>
          <w:rFonts w:ascii="標楷體" w:eastAsia="標楷體" w:hAnsi="標楷體" w:cs="標楷體"/>
          <w:b/>
          <w:sz w:val="28"/>
          <w:szCs w:val="28"/>
        </w:rPr>
        <w:t>】課程計畫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(新課綱)</w:t>
      </w:r>
    </w:p>
    <w:tbl>
      <w:tblPr>
        <w:tblStyle w:val="afa"/>
        <w:tblW w:w="154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51"/>
        <w:gridCol w:w="1058"/>
        <w:gridCol w:w="1730"/>
        <w:gridCol w:w="1984"/>
        <w:gridCol w:w="1985"/>
        <w:gridCol w:w="2693"/>
        <w:gridCol w:w="1843"/>
        <w:gridCol w:w="1276"/>
        <w:gridCol w:w="2126"/>
      </w:tblGrid>
      <w:tr w:rsidR="00821B88" w:rsidTr="00876BA2">
        <w:trPr>
          <w:trHeight w:val="487"/>
          <w:jc w:val="center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跨領域統整或</w:t>
            </w:r>
          </w:p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協同教學規劃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(無則免填)</w:t>
            </w:r>
          </w:p>
        </w:tc>
      </w:tr>
      <w:tr w:rsidR="00821B88" w:rsidTr="00876BA2">
        <w:trPr>
          <w:trHeight w:val="590"/>
          <w:jc w:val="center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086732">
        <w:trPr>
          <w:trHeight w:val="203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876BA2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876BA2">
              <w:rPr>
                <w:rFonts w:asciiTheme="minorEastAsia" w:hAnsiTheme="minorEastAsia" w:cs="標楷體"/>
              </w:rPr>
              <w:t>第一課</w:t>
            </w:r>
          </w:p>
          <w:p w:rsidR="00821B88" w:rsidRPr="00876BA2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876BA2">
              <w:rPr>
                <w:rFonts w:asciiTheme="minorEastAsia" w:hAnsiTheme="minorEastAsia" w:cs="標楷體"/>
              </w:rPr>
              <w:t>中秋節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A1 身心素質與自   我精進。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B1 符號運用語溝   通表達。</w:t>
            </w:r>
          </w:p>
          <w:p w:rsidR="00821B88" w:rsidRPr="00086732" w:rsidRDefault="0024474E" w:rsidP="00876BA2">
            <w:pPr>
              <w:ind w:left="62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C2 人際關係與團   隊合作。</w:t>
            </w:r>
          </w:p>
          <w:p w:rsidR="00821B88" w:rsidRPr="00086732" w:rsidRDefault="0024474E" w:rsidP="00876BA2">
            <w:pPr>
              <w:ind w:left="62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新-E-A1 理解新   住民語言與文化，並樂於學習新住民語文。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2" w:right="143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新-E-B1 具備新住民語言基本的聽說讀寫能力，並能進行簡單的日常生活溝通。</w:t>
            </w:r>
          </w:p>
          <w:p w:rsidR="00821B88" w:rsidRPr="00086732" w:rsidRDefault="0024474E" w:rsidP="00876BA2">
            <w:pPr>
              <w:ind w:left="62" w:hangingChars="31" w:hanging="6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 樂於與   不同文化背景的人建立友誼。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Aa-Ⅱ-1 新住民語言的發音與語調。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Aa-Ⅱ-3 新住民語言的字母與拼讀系統。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Ab-Ⅱ-1 家庭及學校生活中的新住民語言常用詞彙。</w:t>
            </w:r>
          </w:p>
          <w:p w:rsidR="00821B88" w:rsidRPr="00086732" w:rsidRDefault="0024474E" w:rsidP="0030224E">
            <w:pP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Ac-Ⅱ-1 家庭及學校生活中的新住民語言常用語句。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Ba-Ⅱ-1 與友人互動時的問候規範。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Ba-Ⅱ-2 與家中賓客相處的問候規範。</w:t>
            </w:r>
          </w:p>
          <w:p w:rsidR="00821B88" w:rsidRPr="00086732" w:rsidRDefault="0024474E" w:rsidP="0030224E">
            <w:pPr>
              <w:spacing w:line="200" w:lineRule="auto"/>
              <w:ind w:left="176" w:hangingChars="88" w:hanging="176"/>
              <w:jc w:val="both"/>
              <w:rPr>
                <w:rFonts w:asciiTheme="minorEastAsia" w:hAnsiTheme="minorEastAsia" w:cs="標楷體"/>
                <w:strike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Bc-Ⅱ-3 新住民原生國的主要節慶、習俗、禁忌。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1-Ⅱ-1主動向他人提出新住民語文的學習問題。</w:t>
            </w:r>
          </w:p>
          <w:p w:rsidR="00821B88" w:rsidRPr="00086732" w:rsidRDefault="0024474E" w:rsidP="00876BA2">
            <w:pPr>
              <w:widowControl w:val="0"/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1-Ⅱ-2在生活中主動接觸新住民語言與文化。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2a-Ⅱ-1 能聽辨所學習的新住民語言的簡單句子。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2b-Ⅱ-1 能說出所學習的新住民語言的簡單句子。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2c-Ⅱ-1 能閱讀新住民語言歌謠和韻文的主要內容。</w:t>
            </w:r>
          </w:p>
          <w:p w:rsidR="00821B88" w:rsidRPr="00086732" w:rsidRDefault="0024474E" w:rsidP="00876BA2">
            <w:pPr>
              <w:widowControl w:val="0"/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2d-Ⅱ-1 能書寫所學習新住民語言的簡單句子。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3-Ⅱ-1能以適當的禮儀與不同文化背景的人互動。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spacing w:before="18"/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3-Ⅱ-2能依循新住民的言語互動行為規範，與親近的新住民進行生活溝通。</w:t>
            </w:r>
          </w:p>
          <w:p w:rsidR="00821B88" w:rsidRPr="00086732" w:rsidRDefault="0024474E" w:rsidP="00876BA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3-Ⅱ-3樂於邀請不  同文化背景的人參與社區活動。</w:t>
            </w:r>
          </w:p>
          <w:p w:rsidR="00821B88" w:rsidRPr="00086732" w:rsidRDefault="00821B88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17" w:right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運用遊戲評量、實作評量、口頭發表、口語表達、行為觀察等方式，進行下列學習之檢核。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口語表達方面：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(1)聽辨及念出詞彙、句子和替換詞彙念出句子。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(2)朗讀課文；依提問回答問題。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(3)跟著教師朗讀短文，並口述回答問題及分享感受。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(4)分享文化教室相關訊息。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生活應用方面：與家人、親友分享本課之主要內容。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實作表現方面：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(1)個別或與他人合作，上網蒐集越南節慶資料。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(2)主動積極參與遊戲、角色扮演等活動。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紙筆評量方面：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(1)正確書寫本課詞彙。</w:t>
            </w:r>
          </w:p>
          <w:p w:rsidR="00821B88" w:rsidRPr="00086732" w:rsidRDefault="0024474E" w:rsidP="00876BA2">
            <w:pPr>
              <w:widowControl w:val="0"/>
              <w:tabs>
                <w:tab w:val="left" w:pos="601"/>
              </w:tabs>
              <w:ind w:leftChars="73" w:left="315" w:hangingChars="70" w:hanging="14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(2)利用本課詞彙和句型        造句。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ind w:left="318" w:rightChars="14" w:right="34" w:hanging="31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 E6 瞭解各文化間的多樣性與差異性。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rightChars="14" w:right="34" w:hanging="29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人 J5 了解社會上有不同的群體和文化，尊重並欣賞其差異。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rightChars="14" w:right="34" w:hanging="29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人 E5 欣賞、包容個別差異並尊重自己與他人的權利。</w:t>
            </w:r>
          </w:p>
          <w:p w:rsidR="00821B88" w:rsidRPr="00086732" w:rsidRDefault="0024474E" w:rsidP="00876BA2">
            <w:pPr>
              <w:ind w:leftChars="1" w:left="318" w:rightChars="14" w:right="34" w:hangingChars="158" w:hanging="31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品 E2 自尊尊人與自愛愛人。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線上教學：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第4週</w:t>
            </w:r>
          </w:p>
          <w:p w:rsidR="00821B88" w:rsidRPr="00086732" w:rsidRDefault="00821B88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Pr="00086732" w:rsidRDefault="0024474E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24474E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補充影片教材:</w:t>
            </w:r>
          </w:p>
          <w:p w:rsidR="00821B88" w:rsidRPr="00086732" w:rsidRDefault="0024474E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-越南小朋友過中秋節</w:t>
            </w:r>
          </w:p>
          <w:p w:rsidR="00821B88" w:rsidRPr="00086732" w:rsidRDefault="00CC321F">
            <w:pPr>
              <w:shd w:val="clear" w:color="auto" w:fill="FFFF00"/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hyperlink r:id="rId6">
              <w:r w:rsidR="0024474E"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T</w:t>
              </w:r>
            </w:hyperlink>
            <w:hyperlink r:id="rId7">
              <w:r w:rsidR="0024474E" w:rsidRPr="00086732">
                <w:rPr>
                  <w:rFonts w:asciiTheme="minorEastAsia" w:hAnsiTheme="minorEastAsia" w:cs="Cambria"/>
                  <w:sz w:val="20"/>
                  <w:szCs w:val="20"/>
                  <w:u w:val="single"/>
                </w:rPr>
                <w:t>ế</w:t>
              </w:r>
            </w:hyperlink>
            <w:hyperlink r:id="rId8">
              <w:r w:rsidR="0024474E"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t trung thu</w:t>
              </w:r>
            </w:hyperlink>
          </w:p>
          <w:p w:rsidR="00821B88" w:rsidRPr="00086732" w:rsidRDefault="0024474E">
            <w:pPr>
              <w:ind w:left="26" w:right="-108" w:hanging="26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bookmarkStart w:id="1" w:name="_heading=h.gjdgxs" w:colFirst="0" w:colLast="0"/>
            <w:bookmarkEnd w:id="1"/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>(</w:t>
            </w:r>
            <w:r w:rsidRPr="00086732">
              <w:rPr>
                <w:rFonts w:asciiTheme="minorEastAsia" w:hAnsiTheme="minorEastAsia" w:cs="Calibri"/>
                <w:sz w:val="20"/>
                <w:szCs w:val="20"/>
              </w:rPr>
              <w:t>參考影片來自</w:t>
            </w:r>
            <w:hyperlink r:id="rId9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https://www.youtube.com/watch?v=WAGYh2NqrjU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>)</w:t>
            </w:r>
          </w:p>
          <w:p w:rsidR="00821B88" w:rsidRPr="00086732" w:rsidRDefault="00821B88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</w:p>
          <w:p w:rsidR="00821B88" w:rsidRPr="00086732" w:rsidRDefault="0024474E">
            <w:pPr>
              <w:ind w:left="26" w:right="-108" w:hanging="26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>阿貴</w:t>
            </w:r>
            <w:hyperlink r:id="rId10">
              <w:r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th</w:t>
              </w:r>
              <w:r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ằ</w:t>
              </w:r>
              <w:r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ng cu</w:t>
              </w:r>
              <w:r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ộ</w:t>
              </w:r>
              <w:r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i</w:t>
              </w:r>
            </w:hyperlink>
          </w:p>
          <w:p w:rsidR="00821B88" w:rsidRPr="00086732" w:rsidRDefault="0024474E">
            <w:pPr>
              <w:ind w:left="31" w:right="-108" w:hanging="31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086732">
              <w:rPr>
                <w:rFonts w:asciiTheme="minorEastAsia" w:hAnsiTheme="minorEastAsia" w:cs="Calibri"/>
                <w:sz w:val="20"/>
                <w:szCs w:val="20"/>
              </w:rPr>
              <w:t>參考影片來自</w:t>
            </w:r>
            <w:hyperlink r:id="rId11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https://www.youtube.com/watch?v=X4UfjRQP0jk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</w:rPr>
              <w:t>)</w:t>
            </w:r>
          </w:p>
          <w:p w:rsidR="00821B88" w:rsidRPr="00086732" w:rsidRDefault="00821B88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</w:p>
          <w:p w:rsidR="00821B88" w:rsidRPr="00086732" w:rsidRDefault="0024474E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>-</w:t>
            </w:r>
            <w:hyperlink r:id="rId12">
              <w:r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 xml:space="preserve"> R</w:t>
              </w:r>
              <w:r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ướ</w:t>
              </w:r>
              <w:r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 xml:space="preserve">c </w:t>
              </w:r>
              <w:r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Đ</w:t>
              </w:r>
              <w:r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è</w:t>
              </w:r>
              <w:r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n Th</w:t>
              </w:r>
              <w:r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á</w:t>
              </w:r>
              <w:r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ng T</w:t>
              </w:r>
              <w:r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á</w:t>
              </w:r>
              <w:r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m</w:t>
              </w:r>
            </w:hyperlink>
          </w:p>
          <w:p w:rsidR="00821B88" w:rsidRPr="00086732" w:rsidRDefault="0024474E">
            <w:pPr>
              <w:ind w:left="26" w:right="-108" w:hanging="26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13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</w:t>
              </w:r>
            </w:hyperlink>
            <w:hyperlink r:id="rId14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://www.youtube.com/watch?v=4N2SGI_T0fE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 xml:space="preserve"> )</w:t>
            </w:r>
          </w:p>
          <w:p w:rsidR="00821B88" w:rsidRPr="00086732" w:rsidRDefault="00821B88">
            <w:pPr>
              <w:ind w:left="26" w:right="-108" w:hanging="26"/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 xml:space="preserve">1. </w:t>
            </w: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培養探究我國與越南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「節慶活動」的異同，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以達成跨文化理解與實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踐之目標。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2.比較台灣和越南中秋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節節慶活動、習俗.</w:t>
            </w:r>
          </w:p>
          <w:p w:rsidR="00821B88" w:rsidRPr="00086732" w:rsidRDefault="0024474E">
            <w:pPr>
              <w:ind w:right="-10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3.</w:t>
            </w: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動動手做越南燈籠</w:t>
            </w:r>
          </w:p>
          <w:p w:rsidR="00821B88" w:rsidRPr="00086732" w:rsidRDefault="00CC321F">
            <w:pPr>
              <w:ind w:right="-10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hyperlink r:id="rId15"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 xml:space="preserve">làm 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đ</w:t>
              </w:r>
              <w:r w:rsidR="0024474E"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è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 xml:space="preserve">n </w:t>
              </w:r>
              <w:r w:rsidR="0024474E"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ô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ng sao b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ằ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ng gi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ấ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y</w:t>
              </w:r>
            </w:hyperlink>
          </w:p>
          <w:p w:rsidR="00821B88" w:rsidRPr="00086732" w:rsidRDefault="0024474E">
            <w:pPr>
              <w:ind w:left="117" w:right="-10"/>
              <w:rPr>
                <w:rFonts w:asciiTheme="minorEastAsia" w:hAnsiTheme="minorEastAsia" w:cs="Calibri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16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https://www.youtube.com/watch?v=KGw_6vumBAk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</w:rPr>
              <w:t xml:space="preserve"> )</w:t>
            </w:r>
          </w:p>
        </w:tc>
      </w:tr>
      <w:tr w:rsidR="00821B88" w:rsidTr="00086732">
        <w:trPr>
          <w:trHeight w:val="1947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086732">
        <w:trPr>
          <w:trHeight w:val="2129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086732">
        <w:trPr>
          <w:trHeight w:val="68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203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086732">
              <w:rPr>
                <w:rFonts w:asciiTheme="minorEastAsia" w:hAnsiTheme="minorEastAsia" w:cs="標楷體"/>
              </w:rPr>
              <w:t>第二課</w:t>
            </w:r>
          </w:p>
          <w:p w:rsidR="00821B88" w:rsidRPr="00086732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086732">
              <w:rPr>
                <w:rFonts w:asciiTheme="minorEastAsia" w:hAnsiTheme="minorEastAsia" w:cs="標楷體"/>
              </w:rPr>
              <w:t>胡伯伯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A1 身心素質與自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我精進。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B1 符號運用與溝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通表達。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C2 人際關係與團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隊合作。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新-E-A1 理解新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住民語言與文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化，並樂於學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習新住民語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文。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新-E-B1 具備新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住民語言基本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的聽說讀寫能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力，並能進行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簡單的日常生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活溝通。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 樂於與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不同文化背景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的人建立友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Aa-Ⅱ-1 新住民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語言的發音與語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調。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Aa-Ⅱ-3 新住民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語言的字母與拼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讀系統。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Ab-Ⅱ-1 家庭及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學校生活中的新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住民語言常用詞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彙。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Ac-Ⅱ-1 家庭及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學校生活中的新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住民語言常用語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句。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Ba-Ⅱ-1 與友人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互動時的問候規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範。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Bb-Ⅱ-1 與友人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互動時的肢體語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言與面部表情。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Bc-Ⅱ-1新住民原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生國具代表性的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trike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人、事、物。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1-Ⅱ-1主動向他人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提出新住民語文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的學習問題。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1-Ⅱ-2在生活中主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動接觸新住民語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言與文化。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2a-Ⅱ-1能聽辨所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學習的新住民語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言的簡單句子。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2b-Ⅱ-1能說出所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學習的新住民語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言的簡單句子。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2c-Ⅱ-1能閱讀新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住民語言歌謠和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韻文的主要內</w:t>
            </w:r>
          </w:p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容。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2d-Ⅱ-1能書寫所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學習新住民語言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的簡單句子。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3-Ⅱ-1能以適當的禮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儀與不同文化背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景的人互動。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3-Ⅱ-2能依循新住民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的言語互動行為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規範，與親近的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新住民進行生活</w:t>
            </w:r>
          </w:p>
          <w:p w:rsidR="00821B88" w:rsidRPr="00086732" w:rsidRDefault="0024474E" w:rsidP="0087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溝通。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運用遊戲評量、實作評量、口頭發表、口語表達、行為觀察等方式，進行下列學習之檢核。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口語表達方面：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聽辨及念出本課詞彙、句子和替換詞彙後，念出句子。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朗讀課文；依提問回答問題。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跟著教師朗讀短文，並口述回答問題及分享感受。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分享民族人物相關訊息。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生活應用方面：與家人、親友分享本課之主要內容。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實作表現方面：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個別或與他人合作，上網蒐集民族英雄故事。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主動積極參與遊戲、角色扮演等活動。</w:t>
            </w:r>
          </w:p>
          <w:p w:rsidR="00821B88" w:rsidRPr="00086732" w:rsidRDefault="0024474E" w:rsidP="00876BA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ind w:hanging="291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紙筆評量方面：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正確書寫本課詞彙。</w:t>
            </w:r>
          </w:p>
          <w:p w:rsidR="00821B88" w:rsidRPr="00086732" w:rsidRDefault="0024474E" w:rsidP="00876BA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hanging="28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利用本課詞彙和句型造句。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876BA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 E2 建立自己的文化認同與意識。</w:t>
            </w:r>
          </w:p>
          <w:p w:rsidR="00821B88" w:rsidRPr="00086732" w:rsidRDefault="0024474E" w:rsidP="00876BA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國 E2 發展具國  際視野的本土認同。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線上教學：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第7週</w:t>
            </w:r>
          </w:p>
          <w:p w:rsidR="00821B88" w:rsidRPr="00086732" w:rsidRDefault="00821B88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876BA2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 w:rsidP="00876BA2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CC321F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hyperlink r:id="rId17"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n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ơ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i B</w:t>
              </w:r>
              <w:r w:rsidR="0024474E" w:rsidRPr="00086732">
                <w:rPr>
                  <w:rFonts w:ascii="新細明體" w:eastAsia="新細明體" w:hAnsi="新細明體" w:cs="新細明體" w:hint="eastAsia"/>
                  <w:sz w:val="20"/>
                  <w:szCs w:val="20"/>
                  <w:u w:val="single"/>
                </w:rPr>
                <w:t>á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c H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ồ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 xml:space="preserve"> chào 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đờ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i</w:t>
              </w:r>
            </w:hyperlink>
          </w:p>
          <w:p w:rsidR="00821B88" w:rsidRPr="00086732" w:rsidRDefault="0024474E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18">
              <w:r w:rsidRPr="00086732">
                <w:rPr>
                  <w:rFonts w:asciiTheme="minorEastAsia" w:hAnsiTheme="minorEastAsia" w:cs="Arial"/>
                  <w:sz w:val="20"/>
                  <w:szCs w:val="20"/>
                </w:rPr>
                <w:t>https://www.youtube.com/watch?v=GUr1dBqR8z8</w:t>
              </w:r>
            </w:hyperlink>
            <w:r w:rsidRPr="00086732">
              <w:rPr>
                <w:rFonts w:asciiTheme="minorEastAsia" w:hAnsiTheme="minorEastAsia" w:cs="Arial"/>
                <w:sz w:val="20"/>
                <w:szCs w:val="20"/>
              </w:rPr>
              <w:t>)</w:t>
            </w:r>
            <w:r w:rsidRPr="00086732">
              <w:rPr>
                <w:rFonts w:asciiTheme="minorEastAsia" w:hAnsiTheme="minorEastAsia" w:cs="Arial"/>
                <w:sz w:val="20"/>
                <w:szCs w:val="20"/>
                <w:u w:val="single"/>
              </w:rPr>
              <w:t xml:space="preserve"> </w:t>
            </w:r>
          </w:p>
          <w:p w:rsidR="00821B88" w:rsidRPr="00086732" w:rsidRDefault="00821B88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</w:p>
          <w:p w:rsidR="00821B88" w:rsidRPr="00086732" w:rsidRDefault="00CC321F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hyperlink r:id="rId19"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bác h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ồ</w:t>
              </w:r>
            </w:hyperlink>
          </w:p>
          <w:p w:rsidR="00821B88" w:rsidRPr="00086732" w:rsidRDefault="0024474E" w:rsidP="00876BA2">
            <w:pPr>
              <w:ind w:left="31" w:right="-108" w:hanging="31"/>
              <w:jc w:val="both"/>
              <w:rPr>
                <w:rFonts w:asciiTheme="minorEastAsia" w:hAnsiTheme="minorEastAsia" w:cs="Arial"/>
                <w:sz w:val="20"/>
                <w:szCs w:val="20"/>
              </w:rPr>
            </w:pPr>
            <w:r w:rsidRPr="00086732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086732">
              <w:rPr>
                <w:rFonts w:asciiTheme="minorEastAsia" w:hAnsiTheme="minorEastAsia" w:cs="Calibri"/>
                <w:sz w:val="20"/>
                <w:szCs w:val="20"/>
              </w:rPr>
              <w:t>參考影片來自</w:t>
            </w:r>
            <w:hyperlink r:id="rId20">
              <w:r w:rsidRPr="00086732">
                <w:rPr>
                  <w:rFonts w:asciiTheme="minorEastAsia" w:hAnsiTheme="minorEastAsia" w:cs="Arial"/>
                  <w:sz w:val="20"/>
                  <w:szCs w:val="20"/>
                </w:rPr>
                <w:t>https://www.youtube.com/watch?v=Jl8nLNPkSwI</w:t>
              </w:r>
            </w:hyperlink>
            <w:r w:rsidRPr="00086732">
              <w:rPr>
                <w:rFonts w:asciiTheme="minorEastAsia" w:hAnsiTheme="minorEastAsia" w:cs="Arial"/>
                <w:sz w:val="20"/>
                <w:szCs w:val="20"/>
              </w:rPr>
              <w:t xml:space="preserve"> )</w:t>
            </w:r>
          </w:p>
          <w:p w:rsidR="00821B88" w:rsidRPr="00086732" w:rsidRDefault="00821B88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</w:p>
          <w:p w:rsidR="00821B88" w:rsidRPr="00086732" w:rsidRDefault="00CC321F" w:rsidP="00876BA2">
            <w:pPr>
              <w:ind w:left="26" w:right="-108" w:hanging="26"/>
              <w:jc w:val="both"/>
              <w:rPr>
                <w:rFonts w:asciiTheme="minorEastAsia" w:hAnsiTheme="minorEastAsia" w:cs="Arial"/>
                <w:sz w:val="20"/>
                <w:szCs w:val="20"/>
              </w:rPr>
            </w:pPr>
            <w:hyperlink r:id="rId21"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phim tài li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ệ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u về bác h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ồ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 xml:space="preserve"> v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ớ</w:t>
              </w:r>
              <w:r w:rsidR="0024474E" w:rsidRPr="00086732">
                <w:rPr>
                  <w:rFonts w:asciiTheme="minorEastAsia" w:hAnsiTheme="minorEastAsia" w:cs="Arial"/>
                  <w:sz w:val="20"/>
                  <w:szCs w:val="20"/>
                  <w:u w:val="single"/>
                </w:rPr>
                <w:t>i thiếu nh</w:t>
              </w:r>
            </w:hyperlink>
            <w:hyperlink r:id="rId22">
              <w:r w:rsidR="0024474E" w:rsidRPr="00086732">
                <w:rPr>
                  <w:rFonts w:asciiTheme="minorEastAsia" w:hAnsiTheme="minorEastAsia" w:cs="Arial"/>
                  <w:sz w:val="20"/>
                  <w:szCs w:val="20"/>
                </w:rPr>
                <w:t>i</w:t>
              </w:r>
            </w:hyperlink>
          </w:p>
          <w:p w:rsidR="00821B88" w:rsidRPr="00086732" w:rsidRDefault="0024474E" w:rsidP="00876BA2">
            <w:pPr>
              <w:ind w:left="31" w:right="-108" w:hanging="31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086732">
              <w:rPr>
                <w:rFonts w:asciiTheme="minorEastAsia" w:hAnsiTheme="minorEastAsia" w:cs="Calibri"/>
                <w:sz w:val="20"/>
                <w:szCs w:val="20"/>
              </w:rPr>
              <w:t>參考影片來自</w:t>
            </w:r>
            <w:hyperlink r:id="rId23">
              <w:r w:rsidRPr="00086732">
                <w:rPr>
                  <w:rFonts w:asciiTheme="minorEastAsia" w:hAnsiTheme="minorEastAsia" w:cs="Arial"/>
                  <w:sz w:val="20"/>
                  <w:szCs w:val="20"/>
                </w:rPr>
                <w:t>https://www.youtube.com/watch?v=V1z9RI5UrWU</w:t>
              </w:r>
            </w:hyperlink>
            <w:r w:rsidRPr="00086732">
              <w:rPr>
                <w:rFonts w:asciiTheme="minorEastAsia" w:hAnsiTheme="minorEastAsia" w:cs="Arial"/>
                <w:sz w:val="20"/>
                <w:szCs w:val="20"/>
              </w:rPr>
              <w:t>)</w:t>
            </w:r>
          </w:p>
          <w:p w:rsidR="00821B88" w:rsidRPr="00086732" w:rsidRDefault="00821B88" w:rsidP="00876BA2">
            <w:pPr>
              <w:ind w:right="-108"/>
              <w:jc w:val="both"/>
              <w:rPr>
                <w:rFonts w:asciiTheme="minorEastAsia" w:hAnsiTheme="minorEastAsia" w:cs="Arial"/>
                <w:sz w:val="20"/>
                <w:szCs w:val="20"/>
                <w:u w:val="single"/>
              </w:rPr>
            </w:pPr>
          </w:p>
          <w:p w:rsidR="00821B88" w:rsidRPr="00086732" w:rsidRDefault="0024474E" w:rsidP="00876BA2">
            <w:pPr>
              <w:ind w:left="26" w:right="-10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1.培養探究我國與越南</w:t>
            </w:r>
          </w:p>
          <w:p w:rsidR="00821B88" w:rsidRPr="00086732" w:rsidRDefault="0024474E" w:rsidP="00876BA2">
            <w:pPr>
              <w:ind w:left="23" w:right="-10" w:hanging="2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「英雄人物」事蹟，以</w:t>
            </w:r>
          </w:p>
          <w:p w:rsidR="00821B88" w:rsidRPr="00086732" w:rsidRDefault="0024474E" w:rsidP="00876BA2">
            <w:pPr>
              <w:ind w:left="23" w:right="-10" w:hanging="23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達成跨文化理解與實踐</w:t>
            </w:r>
          </w:p>
          <w:p w:rsidR="00821B88" w:rsidRPr="00086732" w:rsidRDefault="0024474E" w:rsidP="00876BA2">
            <w:pPr>
              <w:ind w:left="26" w:right="-10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之目標。</w:t>
            </w:r>
          </w:p>
          <w:p w:rsidR="00821B88" w:rsidRPr="00086732" w:rsidRDefault="0024474E" w:rsidP="00876BA2">
            <w:pPr>
              <w:ind w:left="26" w:right="-10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2.中華民國國父和越南</w:t>
            </w:r>
          </w:p>
          <w:p w:rsidR="00821B88" w:rsidRPr="00086732" w:rsidRDefault="0024474E" w:rsidP="00876BA2">
            <w:pPr>
              <w:ind w:left="26" w:right="-10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國父生長背景及相關</w:t>
            </w:r>
          </w:p>
          <w:p w:rsidR="00821B88" w:rsidRPr="00086732" w:rsidRDefault="0024474E" w:rsidP="00876BA2">
            <w:pPr>
              <w:ind w:left="26" w:right="-10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故事的異同。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3.越南北中南三大城市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與台灣六都城市的比</w:t>
            </w:r>
          </w:p>
          <w:p w:rsidR="00821B88" w:rsidRPr="00086732" w:rsidRDefault="0024474E" w:rsidP="00876BA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較。</w:t>
            </w:r>
          </w:p>
        </w:tc>
      </w:tr>
      <w:tr w:rsidR="00821B88" w:rsidTr="00876BA2">
        <w:trPr>
          <w:trHeight w:val="203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203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203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30224E">
        <w:trPr>
          <w:trHeight w:val="1556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30224E" w:rsidRDefault="0024474E">
            <w:pPr>
              <w:jc w:val="center"/>
              <w:rPr>
                <w:rFonts w:ascii="標楷體" w:eastAsia="標楷體" w:hAnsi="標楷體" w:cs="標楷體"/>
              </w:rPr>
            </w:pPr>
            <w:r w:rsidRPr="0030224E">
              <w:rPr>
                <w:rFonts w:ascii="標楷體" w:eastAsia="標楷體" w:hAnsi="標楷體" w:cs="標楷體"/>
              </w:rPr>
              <w:t>複習一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新-E-B1 具備新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住民語言基本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的聽說讀寫能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力，並能進行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簡單的日常生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lastRenderedPageBreak/>
              <w:t xml:space="preserve">   活溝通。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 樂於與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不同文化背景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的人建立友</w:t>
            </w:r>
          </w:p>
          <w:p w:rsidR="00821B88" w:rsidRPr="00086732" w:rsidRDefault="0024474E" w:rsidP="0030224E">
            <w:pPr>
              <w:ind w:left="142" w:right="-108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 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lastRenderedPageBreak/>
              <w:t>Bc-Ⅱ-1新住民原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生國具代表性的</w:t>
            </w:r>
          </w:p>
          <w:p w:rsidR="00821B88" w:rsidRPr="00086732" w:rsidRDefault="0024474E" w:rsidP="0030224E">
            <w:pPr>
              <w:spacing w:line="200" w:lineRule="auto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人、事、物。</w:t>
            </w:r>
          </w:p>
          <w:p w:rsidR="00821B88" w:rsidRPr="00086732" w:rsidRDefault="0024474E" w:rsidP="0030224E">
            <w:pPr>
              <w:spacing w:line="200" w:lineRule="auto"/>
              <w:ind w:left="174" w:hanging="174"/>
              <w:jc w:val="both"/>
              <w:rPr>
                <w:rFonts w:asciiTheme="minorEastAsia" w:hAnsiTheme="minorEastAsia" w:cs="標楷體"/>
                <w:strike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Bc-Ⅱ-3 新住民原   國的主要節慶、習俗、禁忌。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2b-Ⅱ-1能說出所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學習的新住民語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言的簡單句子。</w:t>
            </w:r>
          </w:p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3-Ⅱ-1能以適當的</w:t>
            </w:r>
          </w:p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禮儀與不同文化</w:t>
            </w:r>
          </w:p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3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lastRenderedPageBreak/>
              <w:t xml:space="preserve">  背景的人互動。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ind w:left="174" w:right="-108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lastRenderedPageBreak/>
              <w:t>1.實際操作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2.口語評量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人 J5 了解社會上有不同的群體和文化，尊重並欣賞其差異。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8" w:hanging="29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lastRenderedPageBreak/>
              <w:t>人 E5 欣賞、包容個別差異並尊重自己與他人的權利。</w:t>
            </w:r>
          </w:p>
          <w:p w:rsidR="00821B88" w:rsidRPr="00086732" w:rsidRDefault="0024474E" w:rsidP="0030224E">
            <w:pPr>
              <w:ind w:left="318" w:hangingChars="159" w:hanging="318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國 E2 發展具國 際視野的本土認同。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30224E">
            <w:pPr>
              <w:ind w:right="-1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 w:rsidP="0030224E">
            <w:pPr>
              <w:ind w:right="-1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24474E" w:rsidP="0030224E">
            <w:pPr>
              <w:ind w:right="-1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數位教材 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</w:tr>
      <w:tr w:rsidR="00821B88" w:rsidTr="0030224E">
        <w:trPr>
          <w:trHeight w:val="1556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Pr="00086732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21B88" w:rsidTr="0030224E">
        <w:trPr>
          <w:trHeight w:val="162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30224E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30224E">
              <w:rPr>
                <w:rFonts w:asciiTheme="minorEastAsia" w:hAnsiTheme="minorEastAsia" w:cs="標楷體"/>
              </w:rPr>
              <w:t>第三課</w:t>
            </w:r>
          </w:p>
          <w:p w:rsidR="00821B88" w:rsidRPr="0030224E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30224E">
              <w:rPr>
                <w:rFonts w:asciiTheme="minorEastAsia" w:hAnsiTheme="minorEastAsia" w:cs="標楷體"/>
              </w:rPr>
              <w:t>水上木偶戲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A1 身心素質與自我精進。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B1 符號運用與溝通表達。</w:t>
            </w:r>
          </w:p>
          <w:p w:rsidR="00821B88" w:rsidRPr="00086732" w:rsidRDefault="0024474E" w:rsidP="0030224E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C2 人際關係與團隊合作。</w:t>
            </w:r>
          </w:p>
          <w:p w:rsidR="00821B88" w:rsidRPr="00086732" w:rsidRDefault="0024474E" w:rsidP="0030224E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新-E-A1 理解新住民語言與文化，並樂於學習新住民語文。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新-E-B1 具備新住民語言基本的聽說讀寫能力，並能進行簡單的日常生活溝通。</w:t>
            </w:r>
          </w:p>
          <w:p w:rsidR="00821B88" w:rsidRPr="00086732" w:rsidRDefault="0024474E" w:rsidP="0030224E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 樂於與不同文化背景的人建立友誼。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Aa-Ⅱ-1 新住民語言的發音與語調。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Aa-Ⅱ-3 新住民語言的字母與拼讀系統。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Ab-Ⅱ-1 家庭及學校生活中的新住民語言常用詞彙。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Ac-Ⅱ-1家庭及學校生活中的新住民語言常用語句。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Ba-Ⅱ-1 與友人互動時的問候規範。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Bb-Ⅱ-1 與友人互動時的肢體語言與面部表情。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Bc-Ⅱ-1 新住民原生國具代表性的人、事、物。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Bd-Ⅱ-3 新住民原生國的主要節慶、習俗、禁忌與我國的異同。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1"/>
              </w:tabs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1-Ⅱ-1主動向他人提出新住民語文的學習問題。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1-Ⅱ-2在生活中主動接觸新住民語言與文化。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2a-Ⅱ-1能聽辨所學習的新住民語。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2b-Ⅱ-1能說出所學習的新住民語言的簡單句子。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2c-Ⅱ-1能閱讀新住民語言歌謠和韻文的主要內容。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2d-Ⅱ-1能書寫所學習新住民語言的簡單句子。</w:t>
            </w:r>
          </w:p>
          <w:p w:rsidR="0030224E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1"/>
              </w:tabs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3-Ⅱ-1能以適當的禮儀與不同文化背景的人互動。</w:t>
            </w:r>
          </w:p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1"/>
              </w:tabs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3-Ⅱ-2能依循新住民原生國的言語互動行為規範，與親近的新住民進行生活溝通。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1.口語表達方面：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(1)朗讀課文；依提問回答問題。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(2)聽辨及念出詞彙。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(3)聽辨及念出句子、用加一加和替換詞彙念出句子，了解語法運用。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(4)能拼讀及寫出詞彙。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(5)分享文化訊息。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2.實作表現方面：主動積極參與遊戲、角色扮演。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3.紙筆評量方面：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(1)正確書寫本課詞彙。</w:t>
            </w:r>
          </w:p>
          <w:p w:rsidR="00821B88" w:rsidRPr="00086732" w:rsidRDefault="0024474E" w:rsidP="0030224E">
            <w:pPr>
              <w:ind w:leftChars="15" w:left="318" w:hangingChars="141" w:hanging="28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(2)利用本課語詞和句型完成練習。</w:t>
            </w:r>
          </w:p>
          <w:p w:rsidR="00821B88" w:rsidRPr="00086732" w:rsidRDefault="00821B88" w:rsidP="0030224E">
            <w:pPr>
              <w:ind w:left="117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  <w:p w:rsidR="00821B88" w:rsidRPr="00086732" w:rsidRDefault="00821B88" w:rsidP="0030224E">
            <w:pPr>
              <w:ind w:left="117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 E4 理解到不同文化共存的事實。</w:t>
            </w:r>
          </w:p>
          <w:p w:rsidR="00821B88" w:rsidRPr="00086732" w:rsidRDefault="0024474E" w:rsidP="0030224E">
            <w:pPr>
              <w:ind w:left="174" w:hanging="17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品E3溝通合作與和諧人際關係。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線上教學：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第13週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30224E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 w:rsidP="0030224E">
            <w:pPr>
              <w:ind w:right="-1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1.越南「水上木偶戲」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的影片欣賞。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  <w:hyperlink r:id="rId24">
              <w:r w:rsidR="0024474E" w:rsidRPr="00086732">
                <w:rPr>
                  <w:rFonts w:asciiTheme="minorEastAsia" w:hAnsiTheme="minorEastAsia" w:cs="標楷體"/>
                  <w:sz w:val="20"/>
                  <w:szCs w:val="20"/>
                  <w:u w:val="single"/>
                </w:rPr>
                <w:t>越南河內昇龍水上木偶</w:t>
              </w:r>
            </w:hyperlink>
            <w:r w:rsidR="0024474E" w:rsidRPr="00086732">
              <w:rPr>
                <w:rFonts w:asciiTheme="minorEastAsia" w:hAnsiTheme="minorEastAsia" w:cs="標楷體"/>
                <w:sz w:val="20"/>
                <w:szCs w:val="20"/>
                <w:u w:val="single"/>
              </w:rPr>
              <w:t>.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25">
              <w:r w:rsidRPr="00086732">
                <w:rPr>
                  <w:rFonts w:asciiTheme="minorEastAsia" w:hAnsiTheme="minorEastAsia" w:cs="標楷體"/>
                  <w:sz w:val="20"/>
                  <w:szCs w:val="20"/>
                </w:rPr>
                <w:t>https://www.youtube.com/watch?v=ovasyMI4h90</w:t>
              </w:r>
            </w:hyperlink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)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2.台灣「「布袋戲或皮影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戲」影片欣賞。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  <w:hyperlink r:id="rId26">
              <w:r w:rsidR="0024474E" w:rsidRPr="00086732">
                <w:rPr>
                  <w:rFonts w:asciiTheme="minorEastAsia" w:hAnsiTheme="minorEastAsia" w:cs="標楷體"/>
                  <w:sz w:val="20"/>
                  <w:szCs w:val="20"/>
                  <w:u w:val="single"/>
                </w:rPr>
                <w:t>掌中乾坤 傳統布袋戲</w:t>
              </w:r>
            </w:hyperlink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27">
              <w:r w:rsidRPr="00086732">
                <w:rPr>
                  <w:rFonts w:asciiTheme="minorEastAsia" w:hAnsiTheme="minorEastAsia" w:cs="標楷體"/>
                  <w:sz w:val="20"/>
                  <w:szCs w:val="20"/>
                </w:rPr>
                <w:t>https://www.youtube.com/watch?v=w83KFX58r1M</w:t>
              </w:r>
            </w:hyperlink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)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3.兩國不同傳統戲曲的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比較。</w:t>
            </w:r>
          </w:p>
        </w:tc>
      </w:tr>
      <w:tr w:rsidR="00821B88" w:rsidTr="00876BA2">
        <w:trPr>
          <w:trHeight w:val="162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162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162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30224E">
        <w:trPr>
          <w:trHeight w:val="1824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30224E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30224E">
              <w:rPr>
                <w:rFonts w:asciiTheme="minorEastAsia" w:hAnsiTheme="minorEastAsia" w:cs="標楷體"/>
              </w:rPr>
              <w:t>第四課</w:t>
            </w:r>
          </w:p>
          <w:p w:rsidR="00821B88" w:rsidRPr="0030224E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30224E">
              <w:rPr>
                <w:rFonts w:asciiTheme="minorEastAsia" w:hAnsiTheme="minorEastAsia" w:cs="標楷體"/>
              </w:rPr>
              <w:t>牛奶果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A1身心素質與自我精進。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B1符號運用與溝通表達。</w:t>
            </w:r>
          </w:p>
          <w:p w:rsidR="00821B88" w:rsidRPr="00086732" w:rsidRDefault="0024474E" w:rsidP="0030224E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C2人際關係與團隊合作。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04" w:right="131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新-E-A1理解新住民語言與文化，並樂於學習新住民語文。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04" w:right="131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新-E-B1具備新住民語言基本的聽說讀寫能力，並能進行簡單的日常生活溝通。</w:t>
            </w:r>
          </w:p>
          <w:p w:rsidR="00821B88" w:rsidRPr="00086732" w:rsidRDefault="0024474E" w:rsidP="0030224E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新-E-C2樂於與不同文化背景的人建立友誼。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Aa-Ⅱ-1新住民語言的發音與語調。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Aa-Ⅱ-2新住民語言的字母與拼讀系統。</w:t>
            </w:r>
          </w:p>
          <w:p w:rsidR="0030224E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Ab-Ⅱ-1家庭及學校生活中的新住民語言常用詞彙。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Bc-Ⅱ-1 新住民原生國具代表性的人、事、物。</w:t>
            </w:r>
          </w:p>
          <w:p w:rsidR="00821B88" w:rsidRPr="00086732" w:rsidRDefault="00821B88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Bb-I-1與親屬互動時的問候規範。</w:t>
            </w:r>
          </w:p>
          <w:p w:rsidR="00821B88" w:rsidRPr="00086732" w:rsidRDefault="0024474E" w:rsidP="00302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Bb-Ⅱ-1與友人互動時的肢體語言與面部表情。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trike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Bc-Ⅱ-1新住民原生國具代表性的人、事、物。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1-Ⅱ-1主動向他人提出新住民語文的學習問題。</w:t>
            </w:r>
          </w:p>
          <w:p w:rsidR="00821B88" w:rsidRPr="00086732" w:rsidRDefault="0024474E" w:rsidP="0008673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1-Ⅱ-2在生活中主動接觸新住民語言與文化。</w:t>
            </w:r>
          </w:p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2a-Ⅱ-1能聽辨所學習的新住民語言的簡單句子。</w:t>
            </w:r>
          </w:p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2b-Ⅱ-1能說出所學習的新住民語言的簡單句子。</w:t>
            </w:r>
          </w:p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2c-Ⅱ-1能閱讀新住民語言歌謠和韻文的主要內容。</w:t>
            </w:r>
          </w:p>
          <w:p w:rsidR="00821B88" w:rsidRPr="00086732" w:rsidRDefault="0024474E" w:rsidP="0008673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2d-Ⅱ-1能書寫所學習新住民語言的簡單句子。</w:t>
            </w:r>
          </w:p>
          <w:p w:rsidR="00821B88" w:rsidRPr="00086732" w:rsidRDefault="0024474E" w:rsidP="0008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3-Ⅱ-1能以適當的禮儀與不同文化背景的人互動。</w:t>
            </w:r>
          </w:p>
          <w:p w:rsidR="00821B88" w:rsidRPr="00086732" w:rsidRDefault="0024474E" w:rsidP="0008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spacing w:before="19"/>
              <w:ind w:left="176" w:right="131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3-Ⅱ-2能依循新住的言語互動行為規範，與親近的新住民進行生活溝通。</w:t>
            </w:r>
          </w:p>
          <w:p w:rsidR="00821B88" w:rsidRPr="00086732" w:rsidRDefault="0024474E" w:rsidP="0008673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3-Ⅱ-3樂於邀請不同文化背景的人參與社區活動。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1.口語表達方面：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(1)朗讀課文；依提問回答問題。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(2)聽辨及念出詞彙。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(3)聽辨及念出句子、用加一加和替換詞彙念出句子，了解語法運用。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(4)能拼讀及寫出詞彙。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(5)分享文化訊息。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2.生活應用方面：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(1)與家人一起到超市或市場，實際觀察居家附近水果攤的水果種類。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(2)能在日常生活中觀察與品嘗在地的水果特色。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(3)能比較越南與我國水果的異同。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3.實作表現方面：主動積極參與遊戲、角色扮演。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4.紙筆評量方面：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(1)正確書寫本課詞彙。</w:t>
            </w:r>
          </w:p>
          <w:p w:rsidR="00821B88" w:rsidRPr="00086732" w:rsidRDefault="0024474E" w:rsidP="0030224E">
            <w:pPr>
              <w:ind w:leftChars="73" w:left="317" w:hangingChars="71" w:hanging="142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(2)利用本課語詞和句型完成練習。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 E6 瞭解各文化間的多樣性與差異性。</w:t>
            </w:r>
          </w:p>
          <w:p w:rsidR="00821B88" w:rsidRPr="00086732" w:rsidRDefault="0024474E" w:rsidP="0030224E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環 E3 了解人與自然和諧共生，進而保護重要棲地。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線上教學：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第17週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30224E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Cambria"/>
                <w:sz w:val="20"/>
                <w:szCs w:val="20"/>
                <w:u w:val="single"/>
              </w:rPr>
            </w:pPr>
            <w:hyperlink r:id="rId28">
              <w:r w:rsidR="0024474E" w:rsidRPr="00086732">
                <w:rPr>
                  <w:rFonts w:asciiTheme="minorEastAsia" w:hAnsiTheme="minorEastAsia" w:cs="標楷體"/>
                  <w:sz w:val="20"/>
                  <w:szCs w:val="20"/>
                  <w:u w:val="single"/>
                </w:rPr>
                <w:t>tên hoa qu</w:t>
              </w:r>
            </w:hyperlink>
            <w:hyperlink r:id="rId29"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ả</w:t>
              </w:r>
            </w:hyperlink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Cambria"/>
                <w:sz w:val="20"/>
                <w:szCs w:val="20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30">
              <w:r w:rsidRPr="00086732">
                <w:rPr>
                  <w:rFonts w:asciiTheme="minorEastAsia" w:hAnsiTheme="minorEastAsia" w:cs="Cambria"/>
                  <w:sz w:val="20"/>
                  <w:szCs w:val="20"/>
                </w:rPr>
                <w:t>https://www.youtube.com/watch?v=-jMB7s1PRvk</w:t>
              </w:r>
            </w:hyperlink>
            <w:r w:rsidRPr="00086732">
              <w:rPr>
                <w:rFonts w:asciiTheme="minorEastAsia" w:hAnsiTheme="minorEastAsia" w:cs="Cambria"/>
                <w:sz w:val="20"/>
                <w:szCs w:val="20"/>
              </w:rPr>
              <w:t xml:space="preserve"> )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Cambria"/>
                <w:sz w:val="20"/>
                <w:szCs w:val="20"/>
                <w:u w:val="single"/>
              </w:rPr>
            </w:pP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1.比較越南與我國水果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的異同。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2.比較越南與我國水果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生長環境的異同。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3.分享吃過東南亞特殊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水果的經驗。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4.介紹臺灣和越南同樣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會使用水果入菜的料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理方式。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5.比較越南和台灣過節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時選用的水果與其代</w:t>
            </w: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  表意義。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  <w:hyperlink r:id="rId31">
              <w:r w:rsidR="0024474E" w:rsidRPr="00086732">
                <w:rPr>
                  <w:rFonts w:asciiTheme="minorEastAsia" w:hAnsiTheme="minorEastAsia" w:cs="標楷體"/>
                  <w:sz w:val="20"/>
                  <w:szCs w:val="20"/>
                  <w:u w:val="single"/>
                </w:rPr>
                <w:t>越南水果</w:t>
              </w:r>
            </w:hyperlink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/>
                <w:sz w:val="20"/>
                <w:szCs w:val="20"/>
              </w:rPr>
              <w:t xml:space="preserve"> (</w:t>
            </w:r>
            <w:r w:rsidRPr="00086732">
              <w:rPr>
                <w:rFonts w:asciiTheme="minorEastAsia" w:hAnsiTheme="minorEastAsia" w:cs="Calibri"/>
                <w:sz w:val="20"/>
                <w:szCs w:val="20"/>
              </w:rPr>
              <w:t>參考影片來自</w:t>
            </w:r>
            <w:hyperlink r:id="rId32">
              <w:r w:rsidRPr="00086732">
                <w:rPr>
                  <w:rFonts w:asciiTheme="minorEastAsia" w:hAnsiTheme="minorEastAsia" w:cs="標楷體"/>
                  <w:sz w:val="20"/>
                  <w:szCs w:val="20"/>
                </w:rPr>
                <w:t>https://www.youtube.com/watch?v=qpUmj_62LDU</w:t>
              </w:r>
            </w:hyperlink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)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  <w:u w:val="single"/>
              </w:rPr>
            </w:pPr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教唱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hyperlink r:id="rId33">
              <w:r w:rsidR="0024474E"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Qu</w:t>
              </w:r>
              <w:r w:rsidR="0024474E" w:rsidRPr="00086732">
                <w:rPr>
                  <w:rFonts w:ascii="Cambria" w:hAnsi="Cambria" w:cs="Cambria"/>
                  <w:sz w:val="20"/>
                  <w:szCs w:val="20"/>
                  <w:u w:val="single"/>
                </w:rPr>
                <w:t>ả</w:t>
              </w:r>
              <w:r w:rsidR="0024474E"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 xml:space="preserve"> Gì</w:t>
              </w:r>
            </w:hyperlink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34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https://www.youtube.com/watch?v=oa9f_JKz2kg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  <w:u w:val="single"/>
              </w:rPr>
              <w:t xml:space="preserve"> )</w:t>
            </w:r>
          </w:p>
          <w:p w:rsidR="00821B88" w:rsidRPr="00086732" w:rsidRDefault="00CC321F" w:rsidP="0030224E">
            <w:pPr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hyperlink r:id="rId35">
              <w:r w:rsidR="0024474E" w:rsidRPr="00086732">
                <w:rPr>
                  <w:rFonts w:asciiTheme="minorEastAsia" w:hAnsiTheme="minorEastAsia" w:cs="Calibri"/>
                  <w:sz w:val="20"/>
                  <w:szCs w:val="20"/>
                  <w:u w:val="single"/>
                </w:rPr>
                <w:t>牛奶果的傳說</w:t>
              </w:r>
            </w:hyperlink>
          </w:p>
          <w:p w:rsidR="00821B88" w:rsidRPr="00086732" w:rsidRDefault="0024474E" w:rsidP="0030224E">
            <w:pPr>
              <w:jc w:val="both"/>
              <w:rPr>
                <w:rFonts w:asciiTheme="minorEastAsia" w:hAnsiTheme="minorEastAsia" w:cs="Calibri"/>
                <w:sz w:val="20"/>
                <w:szCs w:val="20"/>
                <w:u w:val="single"/>
              </w:rPr>
            </w:pPr>
            <w:r w:rsidRPr="00086732">
              <w:rPr>
                <w:rFonts w:asciiTheme="minorEastAsia" w:hAnsiTheme="minorEastAsia" w:cs="Calibri"/>
                <w:sz w:val="20"/>
                <w:szCs w:val="20"/>
              </w:rPr>
              <w:t>(參考影片來自</w:t>
            </w:r>
            <w:hyperlink r:id="rId36">
              <w:r w:rsidRPr="00086732">
                <w:rPr>
                  <w:rFonts w:asciiTheme="minorEastAsia" w:hAnsiTheme="minorEastAsia" w:cs="Calibri"/>
                  <w:sz w:val="20"/>
                  <w:szCs w:val="20"/>
                </w:rPr>
                <w:t>https://www.youtube.com/watch?v=B0QFCqqawps</w:t>
              </w:r>
            </w:hyperlink>
            <w:r w:rsidRPr="00086732">
              <w:rPr>
                <w:rFonts w:asciiTheme="minorEastAsia" w:hAnsiTheme="minorEastAsia" w:cs="Calibri"/>
                <w:sz w:val="20"/>
                <w:szCs w:val="20"/>
              </w:rPr>
              <w:t xml:space="preserve"> )</w:t>
            </w:r>
          </w:p>
          <w:p w:rsidR="00821B88" w:rsidRPr="00086732" w:rsidRDefault="00821B88" w:rsidP="0030224E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</w:p>
        </w:tc>
      </w:tr>
      <w:tr w:rsidR="00821B88" w:rsidTr="00876BA2">
        <w:trPr>
          <w:trHeight w:val="1824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1824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1824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876BA2">
        <w:trPr>
          <w:trHeight w:val="1170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19 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 w:rsidTr="00086732">
        <w:trPr>
          <w:trHeight w:val="1403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20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>
            <w:pPr>
              <w:jc w:val="center"/>
              <w:rPr>
                <w:rFonts w:asciiTheme="minorEastAsia" w:hAnsiTheme="minorEastAsia" w:cs="標楷體"/>
              </w:rPr>
            </w:pPr>
            <w:r w:rsidRPr="00086732">
              <w:rPr>
                <w:rFonts w:asciiTheme="minorEastAsia" w:hAnsiTheme="minorEastAsia" w:cs="標楷體"/>
              </w:rPr>
              <w:t>複習二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新-E-B1 具備新住民語言基本的聽說讀寫能力，並能進行簡單的日常生</w:t>
            </w: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活溝通。</w:t>
            </w:r>
          </w:p>
          <w:p w:rsidR="00821B88" w:rsidRPr="00086732" w:rsidRDefault="0024474E" w:rsidP="00086732">
            <w:pPr>
              <w:ind w:left="204" w:hangingChars="102" w:hanging="204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新-E-C2 樂於與不同文化背景的人建立友誼。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ind w:leftChars="1" w:left="176" w:hangingChars="87" w:hanging="174"/>
              <w:jc w:val="both"/>
              <w:rPr>
                <w:rFonts w:asciiTheme="minorEastAsia" w:hAnsiTheme="minorEastAsia" w:cs="標楷體"/>
                <w:color w:val="000000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Ac-Ⅱ-1家庭及學校生活中的新住民語言常用語</w:t>
            </w: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句。</w:t>
            </w:r>
          </w:p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" w:left="176" w:hangingChars="87" w:hanging="174"/>
              <w:jc w:val="both"/>
              <w:rPr>
                <w:rFonts w:asciiTheme="minorEastAsia" w:hAnsiTheme="minorEastAsia" w:cs="標楷體"/>
                <w:color w:val="000000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Bc-Ⅱ-1 新住民原生國具代表性的人、事、物。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color w:val="000000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2b-Ⅱ-1能說出所學習的新住民語言的簡單句子。</w:t>
            </w:r>
          </w:p>
          <w:p w:rsidR="00821B88" w:rsidRPr="00086732" w:rsidRDefault="0024474E" w:rsidP="00086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Chars="88" w:hanging="176"/>
              <w:jc w:val="both"/>
              <w:rPr>
                <w:rFonts w:asciiTheme="minorEastAsia" w:hAnsiTheme="minorEastAsia" w:cs="標楷體"/>
                <w:color w:val="000000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2c-Ⅱ-1能閱讀新住民語言歌謠和韻文的主要內容。</w:t>
            </w:r>
          </w:p>
          <w:p w:rsidR="00821B88" w:rsidRPr="00086732" w:rsidRDefault="0024474E" w:rsidP="0008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5"/>
              </w:tabs>
              <w:spacing w:before="19"/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3-Ⅱ-2能依循新住的言語互動行為規範，與親近的新住民進行生活溝通。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ind w:left="26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口語評量</w:t>
            </w:r>
          </w:p>
          <w:p w:rsidR="00821B88" w:rsidRPr="00086732" w:rsidRDefault="0024474E" w:rsidP="00086732">
            <w:pPr>
              <w:ind w:left="26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實際操作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Pr="00086732" w:rsidRDefault="0024474E" w:rsidP="00086732">
            <w:pPr>
              <w:ind w:left="176" w:hangingChars="88" w:hanging="17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 E4 理解到不同文化共存的事實。</w:t>
            </w:r>
          </w:p>
          <w:p w:rsidR="00821B88" w:rsidRPr="00086732" w:rsidRDefault="0024474E" w:rsidP="00086732">
            <w:pPr>
              <w:ind w:left="176" w:hangingChars="88" w:hanging="176"/>
              <w:jc w:val="both"/>
              <w:rPr>
                <w:rFonts w:asciiTheme="minorEastAsia" w:hAnsiTheme="minorEastAsia" w:cs="標楷體"/>
                <w:color w:val="000000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多E6瞭解各文化間的多樣性與</w:t>
            </w:r>
            <w:r w:rsidRPr="00086732">
              <w:rPr>
                <w:rFonts w:asciiTheme="minorEastAsia" w:hAnsiTheme="minorEastAsia" w:cs="標楷體"/>
                <w:color w:val="000000"/>
                <w:sz w:val="20"/>
                <w:szCs w:val="20"/>
              </w:rPr>
              <w:t>差異性。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821B88" w:rsidP="00086732">
            <w:pPr>
              <w:jc w:val="both"/>
              <w:rPr>
                <w:rFonts w:asciiTheme="minorEastAsia" w:hAnsiTheme="minorEastAsia" w:cs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88" w:rsidRPr="00086732" w:rsidRDefault="0024474E" w:rsidP="00086732">
            <w:pPr>
              <w:ind w:left="26" w:right="-108" w:hanging="26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新住民子女教育網</w:t>
            </w:r>
          </w:p>
          <w:p w:rsidR="00821B88" w:rsidRPr="00086732" w:rsidRDefault="0024474E" w:rsidP="00086732">
            <w:pPr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>自製PPT</w:t>
            </w:r>
          </w:p>
          <w:p w:rsidR="00821B88" w:rsidRPr="00086732" w:rsidRDefault="0024474E" w:rsidP="00086732">
            <w:pPr>
              <w:ind w:right="-10"/>
              <w:jc w:val="both"/>
              <w:rPr>
                <w:rFonts w:asciiTheme="minorEastAsia" w:hAnsiTheme="minorEastAsia" w:cs="標楷體"/>
                <w:sz w:val="20"/>
                <w:szCs w:val="20"/>
              </w:rPr>
            </w:pPr>
            <w:r w:rsidRPr="00086732">
              <w:rPr>
                <w:rFonts w:asciiTheme="minorEastAsia" w:hAnsiTheme="minorEastAsia" w:cs="標楷體"/>
                <w:sz w:val="20"/>
                <w:szCs w:val="20"/>
              </w:rPr>
              <w:t xml:space="preserve">數位教材 </w:t>
            </w:r>
          </w:p>
        </w:tc>
      </w:tr>
      <w:tr w:rsidR="00821B88" w:rsidTr="00086732">
        <w:trPr>
          <w:trHeight w:val="1403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88" w:rsidRDefault="00821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21B88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備註</w:t>
            </w:r>
          </w:p>
        </w:tc>
        <w:tc>
          <w:tcPr>
            <w:tcW w:w="14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B88" w:rsidRDefault="0024474E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1、111年8月30日(星期二)為開學日正式上課，112年1月19日(星期四)結業，共計21週(上課日數101天)。(1/21寒假開始)。</w:t>
            </w:r>
          </w:p>
          <w:p w:rsidR="00821B88" w:rsidRDefault="0024474E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2、111年9月9日(星期五)中秋節補假，9月10日(星期六)中秋節。</w:t>
            </w:r>
          </w:p>
          <w:p w:rsidR="00821B88" w:rsidRDefault="0024474E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3、111年10月10日(星期一)雙十節放假。</w:t>
            </w:r>
          </w:p>
          <w:p w:rsidR="00821B88" w:rsidRDefault="0024474E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4、112年1月1日(星期日)元旦放假，1月2日(星期一)補假。</w:t>
            </w:r>
          </w:p>
          <w:p w:rsidR="00086732" w:rsidRDefault="0024474E" w:rsidP="00086732">
            <w:pPr>
              <w:rPr>
                <w:color w:val="C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  <w:highlight w:val="yellow"/>
              </w:rPr>
              <w:t>5、寒假起迄日自112年1月20日</w:t>
            </w:r>
            <w:r>
              <w:rPr>
                <w:rFonts w:ascii="標楷體" w:eastAsia="標楷體" w:hAnsi="標楷體" w:cs="標楷體"/>
                <w:color w:val="FF0000"/>
                <w:sz w:val="23"/>
                <w:szCs w:val="23"/>
                <w:highlight w:val="yellow"/>
              </w:rPr>
              <w:t>(星期五)</w:t>
            </w:r>
            <w:r>
              <w:rPr>
                <w:rFonts w:ascii="標楷體" w:eastAsia="標楷體" w:hAnsi="標楷體" w:cs="標楷體"/>
                <w:sz w:val="23"/>
                <w:szCs w:val="23"/>
                <w:highlight w:val="yellow"/>
              </w:rPr>
              <w:t>至112年2月</w:t>
            </w:r>
            <w:r>
              <w:rPr>
                <w:rFonts w:ascii="標楷體" w:eastAsia="標楷體" w:hAnsi="標楷體" w:cs="標楷體"/>
                <w:color w:val="FF0000"/>
                <w:sz w:val="23"/>
                <w:szCs w:val="23"/>
                <w:highlight w:val="yellow"/>
              </w:rPr>
              <w:t>10</w:t>
            </w:r>
            <w:r>
              <w:rPr>
                <w:rFonts w:ascii="標楷體" w:eastAsia="標楷體" w:hAnsi="標楷體" w:cs="標楷體"/>
                <w:sz w:val="23"/>
                <w:szCs w:val="23"/>
                <w:highlight w:val="yellow"/>
              </w:rPr>
              <w:t>日(星期五)止。</w:t>
            </w:r>
            <w:sdt>
              <w:sdtPr>
                <w:tag w:val="goog_rdk_0"/>
                <w:id w:val="648717806"/>
              </w:sdtPr>
              <w:sdtEndPr/>
              <w:sdtContent>
                <w:r>
                  <w:rPr>
                    <w:rFonts w:ascii="Gungsuh" w:eastAsia="Gungsuh" w:hAnsi="Gungsuh" w:cs="Gungsuh"/>
                    <w:color w:val="C00000"/>
                    <w:sz w:val="18"/>
                    <w:szCs w:val="18"/>
                    <w:highlight w:val="yellow"/>
                  </w:rPr>
                  <w:t>春節(1/20(調整放假)-1/26)</w:t>
                </w:r>
              </w:sdtContent>
            </w:sdt>
          </w:p>
          <w:p w:rsidR="00821B88" w:rsidRPr="00086732" w:rsidRDefault="0024474E" w:rsidP="00086732">
            <w:pPr>
              <w:rPr>
                <w:color w:val="C00000"/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  <w:highlight w:val="yellow"/>
              </w:rPr>
              <w:t xml:space="preserve"> </w:t>
            </w:r>
            <w:r>
              <w:rPr>
                <w:rFonts w:ascii="PMingLiu" w:eastAsia="PMingLiu" w:hAnsi="PMingLiu" w:cs="PMingLiu"/>
                <w:color w:val="6F2F9F"/>
                <w:sz w:val="23"/>
                <w:szCs w:val="23"/>
                <w:highlight w:val="yellow"/>
              </w:rPr>
              <w:t>■</w:t>
            </w:r>
            <w:r>
              <w:rPr>
                <w:rFonts w:ascii="標楷體" w:eastAsia="標楷體" w:hAnsi="標楷體" w:cs="標楷體"/>
                <w:color w:val="6F2F9F"/>
                <w:sz w:val="23"/>
                <w:szCs w:val="23"/>
                <w:highlight w:val="yellow"/>
              </w:rPr>
              <w:t>112年1月14日(六) 補上班1天(待確定)(補1/20彈放)</w:t>
            </w:r>
          </w:p>
        </w:tc>
      </w:tr>
    </w:tbl>
    <w:p w:rsidR="00821B88" w:rsidRDefault="0024474E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:rsidR="00821B88" w:rsidRDefault="0024474E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註2：「議題融入」中「法定議題」為必要項目，課綱議題則為鼓勵填寫。(例：法定/課綱：領域-議題-(議題實質內涵代碼)-時數)。</w:t>
      </w:r>
    </w:p>
    <w:p w:rsidR="00821B88" w:rsidRDefault="0024474E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（一）法定議題：依每學年度核定函辦理。</w:t>
      </w:r>
    </w:p>
    <w:p w:rsidR="00821B88" w:rsidRDefault="0024474E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:rsidR="00821B88" w:rsidRDefault="0024474E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:rsidR="00821B88" w:rsidRDefault="0024474E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:rsidR="00821B88" w:rsidRDefault="0024474E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:rsidR="00821B88" w:rsidRDefault="0024474E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821B88" w:rsidRDefault="0024474E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821B88" w:rsidRDefault="0024474E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821B88" w:rsidRDefault="0024474E">
      <w:pPr>
        <w:ind w:left="577" w:hanging="57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821B88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PAmjMinch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altName w:val="Constanti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365C6"/>
    <w:multiLevelType w:val="multilevel"/>
    <w:tmpl w:val="63D202C6"/>
    <w:lvl w:ilvl="0">
      <w:start w:val="1"/>
      <w:numFmt w:val="decimal"/>
      <w:lvlText w:val="%1."/>
      <w:lvlJc w:val="left"/>
      <w:pPr>
        <w:ind w:left="407" w:hanging="290"/>
      </w:pPr>
      <w:rPr>
        <w:rFonts w:ascii="IPAmjMincho" w:eastAsia="IPAmjMincho" w:hAnsi="IPAmjMincho" w:cs="IPAmjMincho"/>
        <w:sz w:val="20"/>
        <w:szCs w:val="20"/>
      </w:rPr>
    </w:lvl>
    <w:lvl w:ilvl="1">
      <w:start w:val="1"/>
      <w:numFmt w:val="decimal"/>
      <w:lvlText w:val="(%2)"/>
      <w:lvlJc w:val="left"/>
      <w:pPr>
        <w:ind w:left="262" w:hanging="434"/>
      </w:pPr>
      <w:rPr>
        <w:rFonts w:ascii="IPAmjMincho" w:eastAsia="IPAmjMincho" w:hAnsi="IPAmjMincho" w:cs="IPAmjMincho"/>
        <w:sz w:val="27"/>
        <w:szCs w:val="27"/>
      </w:rPr>
    </w:lvl>
    <w:lvl w:ilvl="2">
      <w:numFmt w:val="bullet"/>
      <w:lvlText w:val="•"/>
      <w:lvlJc w:val="left"/>
      <w:pPr>
        <w:ind w:left="1423" w:hanging="434"/>
      </w:pPr>
    </w:lvl>
    <w:lvl w:ilvl="3">
      <w:numFmt w:val="bullet"/>
      <w:lvlText w:val="•"/>
      <w:lvlJc w:val="left"/>
      <w:pPr>
        <w:ind w:left="2446" w:hanging="434"/>
      </w:pPr>
    </w:lvl>
    <w:lvl w:ilvl="4">
      <w:numFmt w:val="bullet"/>
      <w:lvlText w:val="•"/>
      <w:lvlJc w:val="left"/>
      <w:pPr>
        <w:ind w:left="3469" w:hanging="434"/>
      </w:pPr>
    </w:lvl>
    <w:lvl w:ilvl="5">
      <w:numFmt w:val="bullet"/>
      <w:lvlText w:val="•"/>
      <w:lvlJc w:val="left"/>
      <w:pPr>
        <w:ind w:left="4492" w:hanging="434"/>
      </w:pPr>
    </w:lvl>
    <w:lvl w:ilvl="6">
      <w:numFmt w:val="bullet"/>
      <w:lvlText w:val="•"/>
      <w:lvlJc w:val="left"/>
      <w:pPr>
        <w:ind w:left="5516" w:hanging="434"/>
      </w:pPr>
    </w:lvl>
    <w:lvl w:ilvl="7">
      <w:numFmt w:val="bullet"/>
      <w:lvlText w:val="•"/>
      <w:lvlJc w:val="left"/>
      <w:pPr>
        <w:ind w:left="6539" w:hanging="434"/>
      </w:pPr>
    </w:lvl>
    <w:lvl w:ilvl="8">
      <w:numFmt w:val="bullet"/>
      <w:lvlText w:val="•"/>
      <w:lvlJc w:val="left"/>
      <w:pPr>
        <w:ind w:left="7562" w:hanging="433"/>
      </w:pPr>
    </w:lvl>
  </w:abstractNum>
  <w:abstractNum w:abstractNumId="1" w15:restartNumberingAfterBreak="0">
    <w:nsid w:val="660C2D65"/>
    <w:multiLevelType w:val="multilevel"/>
    <w:tmpl w:val="856293F0"/>
    <w:lvl w:ilvl="0">
      <w:start w:val="1"/>
      <w:numFmt w:val="decimal"/>
      <w:lvlText w:val="%1."/>
      <w:lvlJc w:val="left"/>
      <w:pPr>
        <w:ind w:left="407" w:hanging="290"/>
      </w:pPr>
      <w:rPr>
        <w:rFonts w:ascii="IPAmjMincho" w:eastAsia="IPAmjMincho" w:hAnsi="IPAmjMincho" w:cs="IPAmjMincho"/>
        <w:sz w:val="20"/>
        <w:szCs w:val="20"/>
      </w:rPr>
    </w:lvl>
    <w:lvl w:ilvl="1">
      <w:start w:val="1"/>
      <w:numFmt w:val="decimal"/>
      <w:lvlText w:val="(%2)"/>
      <w:lvlJc w:val="left"/>
      <w:pPr>
        <w:ind w:left="575" w:hanging="434"/>
      </w:pPr>
      <w:rPr>
        <w:rFonts w:ascii="IPAmjMincho" w:eastAsia="IPAmjMincho" w:hAnsi="IPAmjMincho" w:cs="IPAmjMincho"/>
        <w:sz w:val="20"/>
        <w:szCs w:val="20"/>
      </w:rPr>
    </w:lvl>
    <w:lvl w:ilvl="2">
      <w:numFmt w:val="bullet"/>
      <w:lvlText w:val="•"/>
      <w:lvlJc w:val="left"/>
      <w:pPr>
        <w:ind w:left="700" w:hanging="434"/>
      </w:pPr>
    </w:lvl>
    <w:lvl w:ilvl="3">
      <w:numFmt w:val="bullet"/>
      <w:lvlText w:val="•"/>
      <w:lvlJc w:val="left"/>
      <w:pPr>
        <w:ind w:left="1753" w:hanging="434"/>
      </w:pPr>
    </w:lvl>
    <w:lvl w:ilvl="4">
      <w:numFmt w:val="bullet"/>
      <w:lvlText w:val="•"/>
      <w:lvlJc w:val="left"/>
      <w:pPr>
        <w:ind w:left="2807" w:hanging="434"/>
      </w:pPr>
    </w:lvl>
    <w:lvl w:ilvl="5">
      <w:numFmt w:val="bullet"/>
      <w:lvlText w:val="•"/>
      <w:lvlJc w:val="left"/>
      <w:pPr>
        <w:ind w:left="3860" w:hanging="434"/>
      </w:pPr>
    </w:lvl>
    <w:lvl w:ilvl="6">
      <w:numFmt w:val="bullet"/>
      <w:lvlText w:val="•"/>
      <w:lvlJc w:val="left"/>
      <w:pPr>
        <w:ind w:left="4914" w:hanging="434"/>
      </w:pPr>
    </w:lvl>
    <w:lvl w:ilvl="7">
      <w:numFmt w:val="bullet"/>
      <w:lvlText w:val="•"/>
      <w:lvlJc w:val="left"/>
      <w:pPr>
        <w:ind w:left="5968" w:hanging="434"/>
      </w:pPr>
    </w:lvl>
    <w:lvl w:ilvl="8">
      <w:numFmt w:val="bullet"/>
      <w:lvlText w:val="•"/>
      <w:lvlJc w:val="left"/>
      <w:pPr>
        <w:ind w:left="7021" w:hanging="434"/>
      </w:pPr>
    </w:lvl>
  </w:abstractNum>
  <w:abstractNum w:abstractNumId="2" w15:restartNumberingAfterBreak="0">
    <w:nsid w:val="7D9F2073"/>
    <w:multiLevelType w:val="multilevel"/>
    <w:tmpl w:val="34E46B7A"/>
    <w:lvl w:ilvl="0">
      <w:start w:val="2"/>
      <w:numFmt w:val="decimal"/>
      <w:lvlText w:val="%1."/>
      <w:lvlJc w:val="left"/>
      <w:pPr>
        <w:ind w:left="407" w:hanging="290"/>
      </w:pPr>
      <w:rPr>
        <w:rFonts w:ascii="IPAmjMincho" w:eastAsia="IPAmjMincho" w:hAnsi="IPAmjMincho" w:cs="IPAmjMincho"/>
        <w:sz w:val="20"/>
        <w:szCs w:val="20"/>
      </w:rPr>
    </w:lvl>
    <w:lvl w:ilvl="1">
      <w:start w:val="1"/>
      <w:numFmt w:val="decimal"/>
      <w:lvlText w:val="(%2)"/>
      <w:lvlJc w:val="left"/>
      <w:pPr>
        <w:ind w:left="262" w:hanging="434"/>
      </w:pPr>
      <w:rPr>
        <w:rFonts w:ascii="IPAmjMincho" w:eastAsia="IPAmjMincho" w:hAnsi="IPAmjMincho" w:cs="IPAmjMincho"/>
        <w:sz w:val="27"/>
        <w:szCs w:val="27"/>
      </w:rPr>
    </w:lvl>
    <w:lvl w:ilvl="2">
      <w:numFmt w:val="bullet"/>
      <w:lvlText w:val="•"/>
      <w:lvlJc w:val="left"/>
      <w:pPr>
        <w:ind w:left="700" w:hanging="434"/>
      </w:pPr>
    </w:lvl>
    <w:lvl w:ilvl="3">
      <w:numFmt w:val="bullet"/>
      <w:lvlText w:val="•"/>
      <w:lvlJc w:val="left"/>
      <w:pPr>
        <w:ind w:left="1813" w:hanging="434"/>
      </w:pPr>
    </w:lvl>
    <w:lvl w:ilvl="4">
      <w:numFmt w:val="bullet"/>
      <w:lvlText w:val="•"/>
      <w:lvlJc w:val="left"/>
      <w:pPr>
        <w:ind w:left="2927" w:hanging="434"/>
      </w:pPr>
    </w:lvl>
    <w:lvl w:ilvl="5">
      <w:numFmt w:val="bullet"/>
      <w:lvlText w:val="•"/>
      <w:lvlJc w:val="left"/>
      <w:pPr>
        <w:ind w:left="4040" w:hanging="434"/>
      </w:pPr>
    </w:lvl>
    <w:lvl w:ilvl="6">
      <w:numFmt w:val="bullet"/>
      <w:lvlText w:val="•"/>
      <w:lvlJc w:val="left"/>
      <w:pPr>
        <w:ind w:left="5154" w:hanging="434"/>
      </w:pPr>
    </w:lvl>
    <w:lvl w:ilvl="7">
      <w:numFmt w:val="bullet"/>
      <w:lvlText w:val="•"/>
      <w:lvlJc w:val="left"/>
      <w:pPr>
        <w:ind w:left="6268" w:hanging="434"/>
      </w:pPr>
    </w:lvl>
    <w:lvl w:ilvl="8">
      <w:numFmt w:val="bullet"/>
      <w:lvlText w:val="•"/>
      <w:lvlJc w:val="left"/>
      <w:pPr>
        <w:ind w:left="7381" w:hanging="43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88"/>
    <w:rsid w:val="00086732"/>
    <w:rsid w:val="0024474E"/>
    <w:rsid w:val="0030224E"/>
    <w:rsid w:val="00821B88"/>
    <w:rsid w:val="00876BA2"/>
    <w:rsid w:val="00C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645CD-8696-4954-82B9-C485A04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71064A"/>
    <w:rPr>
      <w:color w:val="954F72" w:themeColor="followedHyperlink"/>
      <w:u w:val="singl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N2SGI_T0fE" TargetMode="External"/><Relationship Id="rId18" Type="http://schemas.openxmlformats.org/officeDocument/2006/relationships/hyperlink" Target="https://www.youtube.com/watch?v=GUr1dBqR8z8" TargetMode="External"/><Relationship Id="rId26" Type="http://schemas.openxmlformats.org/officeDocument/2006/relationships/hyperlink" Target="https://www.youtube.com/watch?v=w83KFX58r1M" TargetMode="External"/><Relationship Id="rId21" Type="http://schemas.openxmlformats.org/officeDocument/2006/relationships/hyperlink" Target="https://www.youtube.com/watch?v=V1z9RI5UrWU" TargetMode="External"/><Relationship Id="rId34" Type="http://schemas.openxmlformats.org/officeDocument/2006/relationships/hyperlink" Target="https://www.youtube.com/watch?v=oa9f_JKz2kg" TargetMode="External"/><Relationship Id="rId7" Type="http://schemas.openxmlformats.org/officeDocument/2006/relationships/hyperlink" Target="https://www.youtube.com/watch?v=ijoRi6UTmUI" TargetMode="External"/><Relationship Id="rId12" Type="http://schemas.openxmlformats.org/officeDocument/2006/relationships/hyperlink" Target="https://www.youtube.com/watch?v=4N2SGI_T0fE" TargetMode="External"/><Relationship Id="rId17" Type="http://schemas.openxmlformats.org/officeDocument/2006/relationships/hyperlink" Target="https://www.youtube.com/watch?v=GUr1dBqR8z8" TargetMode="External"/><Relationship Id="rId25" Type="http://schemas.openxmlformats.org/officeDocument/2006/relationships/hyperlink" Target="https://www.youtube.com/watch?v=ovasyMI4h90" TargetMode="External"/><Relationship Id="rId33" Type="http://schemas.openxmlformats.org/officeDocument/2006/relationships/hyperlink" Target="https://www.youtube.com/watch?v=oa9f_JKz2k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Gw_6vumBAk" TargetMode="External"/><Relationship Id="rId20" Type="http://schemas.openxmlformats.org/officeDocument/2006/relationships/hyperlink" Target="https://www.youtube.com/watch?v=Jl8nLNPkSwI" TargetMode="External"/><Relationship Id="rId29" Type="http://schemas.openxmlformats.org/officeDocument/2006/relationships/hyperlink" Target="https://www.youtube.com/watch?v=-jMB7s1PRv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joRi6UTmUI" TargetMode="External"/><Relationship Id="rId11" Type="http://schemas.openxmlformats.org/officeDocument/2006/relationships/hyperlink" Target="https://www.youtube.com/watch?v=X4UfjRQP0jk" TargetMode="External"/><Relationship Id="rId24" Type="http://schemas.openxmlformats.org/officeDocument/2006/relationships/hyperlink" Target="https://www.youtube.com/watch?v=ovasyMI4h90" TargetMode="External"/><Relationship Id="rId32" Type="http://schemas.openxmlformats.org/officeDocument/2006/relationships/hyperlink" Target="https://www.youtube.com/watch?v=qpUmj_62LD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Gw_6vumBAk" TargetMode="External"/><Relationship Id="rId23" Type="http://schemas.openxmlformats.org/officeDocument/2006/relationships/hyperlink" Target="https://www.youtube.com/watch?v=V1z9RI5UrWU" TargetMode="External"/><Relationship Id="rId28" Type="http://schemas.openxmlformats.org/officeDocument/2006/relationships/hyperlink" Target="https://www.youtube.com/watch?v=-jMB7s1PRvk" TargetMode="External"/><Relationship Id="rId36" Type="http://schemas.openxmlformats.org/officeDocument/2006/relationships/hyperlink" Target="https://www.youtube.com/watch?v=B0QFCqqawps" TargetMode="External"/><Relationship Id="rId10" Type="http://schemas.openxmlformats.org/officeDocument/2006/relationships/hyperlink" Target="https://www.youtube.com/watch?v=X4UfjRQP0jk" TargetMode="External"/><Relationship Id="rId19" Type="http://schemas.openxmlformats.org/officeDocument/2006/relationships/hyperlink" Target="https://www.youtube.com/watch?v=Jl8nLNPkSwI" TargetMode="External"/><Relationship Id="rId31" Type="http://schemas.openxmlformats.org/officeDocument/2006/relationships/hyperlink" Target="https://www.youtube.com/watch?v=qpUmj_62L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AGYh2NqrjU" TargetMode="External"/><Relationship Id="rId14" Type="http://schemas.openxmlformats.org/officeDocument/2006/relationships/hyperlink" Target="https://www.youtube.com/watch?v=4N2SGI_T0fE" TargetMode="External"/><Relationship Id="rId22" Type="http://schemas.openxmlformats.org/officeDocument/2006/relationships/hyperlink" Target="https://www.youtube.com/watch?v=V1z9RI5UrWU" TargetMode="External"/><Relationship Id="rId27" Type="http://schemas.openxmlformats.org/officeDocument/2006/relationships/hyperlink" Target="https://www.youtube.com/watch?v=w83KFX58r1M" TargetMode="External"/><Relationship Id="rId30" Type="http://schemas.openxmlformats.org/officeDocument/2006/relationships/hyperlink" Target="https://www.youtube.com/watch?v=-jMB7s1PRvk" TargetMode="External"/><Relationship Id="rId35" Type="http://schemas.openxmlformats.org/officeDocument/2006/relationships/hyperlink" Target="https://www.youtube.com/watch?v=B0QFCqqawps" TargetMode="External"/><Relationship Id="rId8" Type="http://schemas.openxmlformats.org/officeDocument/2006/relationships/hyperlink" Target="https://www.youtube.com/watch?v=ijoRi6UTmU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IrKRIszRqjw5p6GAVyrj8OM5A==">AMUW2mVZ2mAcvAgHhfyNmJQUzmJM6BGDVmFSn3VEp+ogK6YeAxkoUUXLRp7avn7jEcRYfbiJpftVmNU7G1nTo0qFEgmk0hVMeoMzQtgkBI0s8pncynUQepOBVqvxivzqaO0S+k8lqsPNJLIX72RomaOF8Xn9UoF58Duhdy35Vc67YQ25EKDx6n3Cftz3MG/PEm1YsH6ybKzp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Owner</cp:lastModifiedBy>
  <cp:revision>4</cp:revision>
  <dcterms:created xsi:type="dcterms:W3CDTF">2022-06-16T05:08:00Z</dcterms:created>
  <dcterms:modified xsi:type="dcterms:W3CDTF">2022-06-30T10:22:00Z</dcterms:modified>
</cp:coreProperties>
</file>